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26" w:rsidRPr="00E00B26" w:rsidRDefault="00E00B26" w:rsidP="00E00B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B26">
        <w:rPr>
          <w:rFonts w:ascii="Times New Roman" w:eastAsia="Times New Roman" w:hAnsi="Times New Roman" w:cs="Times New Roman"/>
          <w:b/>
          <w:sz w:val="28"/>
          <w:szCs w:val="28"/>
        </w:rPr>
        <w:t>ПРЕДШКОЛСКИ ПРОГРАМ ПРЕДШКОЛСКЕ УСТАНОВЕ</w:t>
      </w:r>
    </w:p>
    <w:p w:rsidR="00E00B26" w:rsidRPr="00E00B26" w:rsidRDefault="000C729A" w:rsidP="00E00B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,, МОРАВСКИ ЦВЕТ</w:t>
      </w:r>
      <w:r w:rsidR="00E00B26" w:rsidRPr="00E00B26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'' 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ЖАБАРИ</w:t>
      </w:r>
    </w:p>
    <w:p w:rsidR="00E00B26" w:rsidRPr="00E00B26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E00B26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E00B26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E00B26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E00B26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E00B26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E00B26" w:rsidRDefault="00E00B26" w:rsidP="00E00B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00B26" w:rsidRPr="00E00B26" w:rsidRDefault="009347C9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3095625" cy="4038600"/>
            <wp:effectExtent l="0" t="0" r="9525" b="0"/>
            <wp:docPr id="2" name="Picture 2" descr="naucn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aucnik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26" w:rsidRPr="00E00B26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00B26" w:rsidRPr="00E00B26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00B26" w:rsidRPr="00E00B26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00B26" w:rsidRPr="00E00B26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00B26" w:rsidRPr="00E00B26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00B26" w:rsidRPr="00E00B26" w:rsidRDefault="000C729A" w:rsidP="00E00B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Жабари, </w:t>
      </w:r>
      <w:r w:rsidR="0069404C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 мај</w:t>
      </w:r>
      <w:r w:rsidR="006940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</w:t>
      </w:r>
      <w:r w:rsidR="00E00B26" w:rsidRPr="00E00B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00B26" w:rsidRPr="00E00B26" w:rsidRDefault="00E00B26" w:rsidP="00E00B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5F5" w:rsidRDefault="008B25F5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5F5" w:rsidRPr="0069404C" w:rsidRDefault="008B25F5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>УВОДНЕ НАПОМЕНЕ</w:t>
      </w: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Предшколски програм креиран је у складу је са Законом о основама система образовања и васпитања, Законом о предшколском васпитању и образовању, Правилником о општим основама предшколског програма, Развојним планом Установе. Заснован је на анализи и  процени ефеката програмских активности реализованих у протеклом периоду, специфичностима локалне заједнице, потреба и очекивања породица, могућностима 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установе.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Пратећи Правилник о општим основама предшколског програма овај документ даје полазишта за даље конкретизовање и флексибилно прилагођавање контексту групе и вртића и пружа могућности за квалитетно планирање, реализацију и евалуацију васпитно-образовног рада.</w:t>
      </w:r>
      <w:proofErr w:type="gramEnd"/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 xml:space="preserve">1. Портрет установе </w:t>
      </w: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 xml:space="preserve">а. Локално окружење </w:t>
      </w:r>
    </w:p>
    <w:p w:rsidR="008B25F5" w:rsidRPr="0069404C" w:rsidRDefault="008B25F5" w:rsidP="00CF3E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404C">
        <w:rPr>
          <w:rFonts w:ascii="Times New Roman" w:hAnsi="Times New Roman" w:cs="Times New Roman"/>
          <w:sz w:val="24"/>
          <w:szCs w:val="24"/>
          <w:lang w:val="sr-Cyrl-CS"/>
        </w:rPr>
        <w:t>Објекат Установе површине 360 м2 ,а у Александровцу је 305 м2. Објекат у Жабарима налази се у мање прометном делу места, што је предност овог објекта.Објекти су прилагођени предшколском узрасту и опремљени одговарајућим намештајем, играчкама, дидактичким материјалом, аудио-визуелним средствима, мултимедијом.  Двориште се простире на 30 ари и омогућава живљење и игру на отвореном простору. Двориште око објекта „Пчелица“ је доста мање површине, тако да се користе терени Основне школе у Александровцу. Зеленеповршине су уређене и опремљене справама за децу, уз сагласност МЗ Александровац.</w:t>
      </w:r>
    </w:p>
    <w:p w:rsidR="00E00B26" w:rsidRPr="0069404C" w:rsidRDefault="00E00B26" w:rsidP="00E00B26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>Организациона структура установе:</w:t>
      </w:r>
    </w:p>
    <w:p w:rsidR="00E00B26" w:rsidRPr="0069404C" w:rsidRDefault="00E00B26" w:rsidP="00E0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</w:p>
    <w:p w:rsidR="008B25F5" w:rsidRPr="0069404C" w:rsidRDefault="008B25F5" w:rsidP="00CF3E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404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50"/>
        <w:gridCol w:w="450"/>
        <w:gridCol w:w="450"/>
        <w:gridCol w:w="540"/>
        <w:gridCol w:w="540"/>
        <w:gridCol w:w="642"/>
        <w:gridCol w:w="528"/>
        <w:gridCol w:w="540"/>
        <w:gridCol w:w="675"/>
        <w:gridCol w:w="630"/>
        <w:gridCol w:w="450"/>
        <w:gridCol w:w="540"/>
        <w:gridCol w:w="720"/>
        <w:gridCol w:w="1170"/>
        <w:gridCol w:w="990"/>
        <w:gridCol w:w="21"/>
      </w:tblGrid>
      <w:tr w:rsidR="008B25F5" w:rsidRPr="0069404C" w:rsidTr="005351ED">
        <w:trPr>
          <w:trHeight w:val="1485"/>
          <w:jc w:val="center"/>
        </w:trPr>
        <w:tc>
          <w:tcPr>
            <w:tcW w:w="634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Предшко</w:t>
            </w: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лска</w:t>
            </w: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Устано</w:t>
            </w: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ва</w:t>
            </w:r>
          </w:p>
        </w:tc>
        <w:tc>
          <w:tcPr>
            <w:tcW w:w="135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Јасле</w:t>
            </w: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 до 3.године)</w:t>
            </w:r>
          </w:p>
        </w:tc>
        <w:tc>
          <w:tcPr>
            <w:tcW w:w="1722" w:type="dxa"/>
            <w:gridSpan w:val="3"/>
            <w:tcBorders>
              <w:top w:val="trip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F5" w:rsidRPr="0069404C" w:rsidRDefault="008B25F5" w:rsidP="005351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Вртић</w:t>
            </w: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(3-5,5)</w:t>
            </w:r>
          </w:p>
        </w:tc>
        <w:tc>
          <w:tcPr>
            <w:tcW w:w="3363" w:type="dxa"/>
            <w:gridSpan w:val="6"/>
            <w:tcBorders>
              <w:top w:val="trip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Припремни предшколски програм </w:t>
            </w: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(5,5-6,5)</w:t>
            </w:r>
          </w:p>
        </w:tc>
        <w:tc>
          <w:tcPr>
            <w:tcW w:w="2901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укупно</w:t>
            </w:r>
          </w:p>
          <w:p w:rsidR="008B25F5" w:rsidRPr="0069404C" w:rsidRDefault="008B25F5" w:rsidP="005351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25F5" w:rsidRPr="0069404C" w:rsidTr="005351ED">
        <w:trPr>
          <w:trHeight w:val="80"/>
          <w:jc w:val="center"/>
        </w:trPr>
        <w:tc>
          <w:tcPr>
            <w:tcW w:w="634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25F5" w:rsidRPr="0069404C" w:rsidTr="005351ED">
        <w:trPr>
          <w:trHeight w:val="7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целодневног</w:t>
            </w:r>
          </w:p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69404C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</w:p>
        </w:tc>
        <w:tc>
          <w:tcPr>
            <w:tcW w:w="2901" w:type="dxa"/>
            <w:gridSpan w:val="4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F3F3F3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8B25F5" w:rsidRPr="0069404C" w:rsidTr="005351ED">
        <w:trPr>
          <w:trHeight w:val="458"/>
          <w:jc w:val="center"/>
        </w:trPr>
        <w:tc>
          <w:tcPr>
            <w:tcW w:w="634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 деце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 група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 Мед.сестара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 деце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 група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Васп.</w:t>
            </w:r>
          </w:p>
        </w:tc>
        <w:tc>
          <w:tcPr>
            <w:tcW w:w="1743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gridSpan w:val="4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3F3F3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B25F5" w:rsidRPr="0069404C" w:rsidTr="005351ED">
        <w:trPr>
          <w:gridAfter w:val="1"/>
          <w:wAfter w:w="21" w:type="dxa"/>
          <w:trHeight w:val="692"/>
          <w:jc w:val="center"/>
        </w:trPr>
        <w:tc>
          <w:tcPr>
            <w:tcW w:w="634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 група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 деце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 васпитача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 деце</w:t>
            </w: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 грпуа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 деце</w:t>
            </w:r>
          </w:p>
        </w:tc>
        <w:tc>
          <w:tcPr>
            <w:tcW w:w="11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3F3F3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кадар</w:t>
            </w:r>
          </w:p>
        </w:tc>
      </w:tr>
      <w:tr w:rsidR="008B25F5" w:rsidRPr="0069404C" w:rsidTr="005351ED">
        <w:trPr>
          <w:gridAfter w:val="1"/>
          <w:wAfter w:w="21" w:type="dxa"/>
          <w:trHeight w:val="680"/>
          <w:jc w:val="center"/>
        </w:trPr>
        <w:tc>
          <w:tcPr>
            <w:tcW w:w="6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„Моравски цвет“ Жабари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B25F5" w:rsidRPr="0069404C" w:rsidRDefault="00CF3E4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25F5" w:rsidRPr="0069404C" w:rsidRDefault="00CF3E45" w:rsidP="0053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3F3F3"/>
          </w:tcPr>
          <w:p w:rsidR="008B25F5" w:rsidRPr="0069404C" w:rsidRDefault="00CF3E45" w:rsidP="0053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8B25F5" w:rsidRPr="0069404C" w:rsidTr="005351ED">
        <w:trPr>
          <w:gridAfter w:val="1"/>
          <w:wAfter w:w="21" w:type="dxa"/>
          <w:trHeight w:val="630"/>
          <w:jc w:val="center"/>
        </w:trPr>
        <w:tc>
          <w:tcPr>
            <w:tcW w:w="6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«Пчелица» Александровац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11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3F3F3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8B25F5" w:rsidRPr="0069404C" w:rsidTr="005351ED">
        <w:trPr>
          <w:gridAfter w:val="1"/>
          <w:wAfter w:w="21" w:type="dxa"/>
          <w:trHeight w:val="953"/>
          <w:jc w:val="center"/>
        </w:trPr>
        <w:tc>
          <w:tcPr>
            <w:tcW w:w="6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118</w:t>
            </w:r>
          </w:p>
        </w:tc>
        <w:tc>
          <w:tcPr>
            <w:tcW w:w="11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25F5" w:rsidRPr="0069404C" w:rsidRDefault="00CF3E45" w:rsidP="0053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3F3F3"/>
          </w:tcPr>
          <w:p w:rsidR="008B25F5" w:rsidRPr="0069404C" w:rsidRDefault="008B25F5" w:rsidP="0053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9404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</w:tr>
    </w:tbl>
    <w:p w:rsidR="008B25F5" w:rsidRPr="0069404C" w:rsidRDefault="008B25F5" w:rsidP="00CF3E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404C">
        <w:rPr>
          <w:rFonts w:ascii="Times New Roman" w:hAnsi="Times New Roman" w:cs="Times New Roman"/>
          <w:sz w:val="24"/>
          <w:szCs w:val="24"/>
          <w:lang w:val="sr-Cyrl-CS"/>
        </w:rPr>
        <w:t>У седишту Вртића  остварују се целодневни боравак, полудневни и припремни</w:t>
      </w:r>
    </w:p>
    <w:p w:rsidR="008B25F5" w:rsidRPr="0069404C" w:rsidRDefault="008B25F5" w:rsidP="00CF3E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404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Предшколски програм.Ван </w:t>
      </w:r>
      <w:r w:rsidR="00CF3E45">
        <w:rPr>
          <w:rFonts w:ascii="Times New Roman" w:hAnsi="Times New Roman" w:cs="Times New Roman"/>
          <w:sz w:val="24"/>
          <w:szCs w:val="24"/>
          <w:lang w:val="sr-Cyrl-CS"/>
        </w:rPr>
        <w:t>седишта у објекту Пчелица“ у А</w:t>
      </w:r>
      <w:r w:rsidRPr="0069404C">
        <w:rPr>
          <w:rFonts w:ascii="Times New Roman" w:hAnsi="Times New Roman" w:cs="Times New Roman"/>
          <w:sz w:val="24"/>
          <w:szCs w:val="24"/>
          <w:lang w:val="sr-Cyrl-CS"/>
        </w:rPr>
        <w:t>лександровцу, организује се припремни предшколски програм и целодневни боравак.</w:t>
      </w:r>
    </w:p>
    <w:p w:rsidR="008B25F5" w:rsidRPr="0069404C" w:rsidRDefault="008B25F5" w:rsidP="008B25F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9404C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Васпитно-образовни рад се остварује на српском језику.</w:t>
      </w:r>
    </w:p>
    <w:p w:rsidR="008B25F5" w:rsidRPr="0069404C" w:rsidRDefault="008B25F5" w:rsidP="008B25F5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B25F5" w:rsidRPr="0069404C" w:rsidRDefault="00CF3E45" w:rsidP="00CF3E45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B25F5" w:rsidRPr="0069404C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8B25F5" w:rsidRPr="0069404C">
        <w:rPr>
          <w:rFonts w:ascii="Times New Roman" w:hAnsi="Times New Roman" w:cs="Times New Roman"/>
          <w:b/>
          <w:sz w:val="24"/>
          <w:szCs w:val="24"/>
          <w:lang w:val="sr-Cyrl-CS"/>
        </w:rPr>
        <w:t>УСТАНОВА И ОКРУЖЕЊЕ</w:t>
      </w:r>
    </w:p>
    <w:p w:rsidR="008B25F5" w:rsidRPr="0069404C" w:rsidRDefault="008B25F5" w:rsidP="008B25F5">
      <w:pPr>
        <w:jc w:val="both"/>
        <w:outlineLvl w:val="1"/>
        <w:rPr>
          <w:rFonts w:ascii="Times New Roman" w:hAnsi="Times New Roman" w:cs="Times New Roman"/>
          <w:sz w:val="24"/>
          <w:szCs w:val="24"/>
          <w:lang w:val="sr-Cyrl-CS"/>
        </w:rPr>
      </w:pPr>
      <w:r w:rsidRPr="0069404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Специфичност локалне средине огледа се у неразвијености привреде, великој разуђености, малом броју становника у 16 насеља , а самим тим и у малом броју деце,  </w:t>
      </w:r>
    </w:p>
    <w:p w:rsidR="008B25F5" w:rsidRPr="0069404C" w:rsidRDefault="008B25F5" w:rsidP="008B25F5">
      <w:pPr>
        <w:jc w:val="both"/>
        <w:outlineLvl w:val="1"/>
        <w:rPr>
          <w:rFonts w:ascii="Times New Roman" w:hAnsi="Times New Roman" w:cs="Times New Roman"/>
          <w:sz w:val="24"/>
          <w:szCs w:val="24"/>
          <w:lang w:val="sr-Cyrl-CS"/>
        </w:rPr>
      </w:pPr>
      <w:r w:rsidRPr="0069404C">
        <w:rPr>
          <w:rFonts w:ascii="Times New Roman" w:hAnsi="Times New Roman" w:cs="Times New Roman"/>
          <w:sz w:val="24"/>
          <w:szCs w:val="24"/>
          <w:lang w:val="sr-Cyrl-CS"/>
        </w:rPr>
        <w:t>Са тенденцијом негативне стопе наталитета. Села су удаљена од седишта Општине од 3 до 21 километара, број деце у њима се креће од 0 до 8, с тим што је у највећем броју села тај број од 0 до 5.</w:t>
      </w:r>
    </w:p>
    <w:p w:rsidR="008B25F5" w:rsidRPr="0069404C" w:rsidRDefault="008B25F5" w:rsidP="008B25F5">
      <w:pPr>
        <w:jc w:val="both"/>
        <w:outlineLvl w:val="1"/>
        <w:rPr>
          <w:rFonts w:ascii="Times New Roman" w:hAnsi="Times New Roman" w:cs="Times New Roman"/>
          <w:sz w:val="24"/>
          <w:szCs w:val="24"/>
          <w:lang w:val="sr-Cyrl-CS"/>
        </w:rPr>
      </w:pPr>
      <w:r w:rsidRPr="0069404C">
        <w:rPr>
          <w:rFonts w:ascii="Times New Roman" w:hAnsi="Times New Roman" w:cs="Times New Roman"/>
          <w:sz w:val="24"/>
          <w:szCs w:val="24"/>
          <w:lang w:val="sr-Cyrl-CS"/>
        </w:rPr>
        <w:t xml:space="preserve"> Реализовање предшколског и основног образовања, организује се и при основним школама ( у њиховој организацији) јер су узете у обзир специфичности Општине и њене економске могућности, није било реално да Вртић организује припремни предшколски програм за сву децу. На основу Стручног упутства Министарства просвете и спорта утврђено је, у тесној сарадњи са локалном самоуправом и основним школама, да Вртић реализује припремни предшколски програм у 3 васпитне групе, основне школе у три васпитне групе ( у Жабарима), а основна школа у Александровцу у 2 васпитне групе. </w:t>
      </w:r>
    </w:p>
    <w:p w:rsidR="008B25F5" w:rsidRPr="0069404C" w:rsidRDefault="008B25F5" w:rsidP="00CF3E45">
      <w:pPr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9404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8B25F5" w:rsidRPr="0069404C" w:rsidRDefault="008B25F5" w:rsidP="00CF3E4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9404C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69404C">
        <w:rPr>
          <w:rFonts w:ascii="Times New Roman" w:hAnsi="Times New Roman" w:cs="Times New Roman"/>
          <w:b/>
          <w:sz w:val="24"/>
          <w:szCs w:val="24"/>
          <w:lang w:val="sr-Cyrl-CS"/>
        </w:rPr>
        <w:t>ПОНУДА ПРОГРАМА И УСЛУГА</w:t>
      </w:r>
    </w:p>
    <w:p w:rsidR="008B25F5" w:rsidRPr="0069404C" w:rsidRDefault="008B25F5" w:rsidP="008B25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404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Узимајући у обзир </w:t>
      </w:r>
      <w:r w:rsidRPr="0069404C">
        <w:rPr>
          <w:rFonts w:ascii="Times New Roman" w:hAnsi="Times New Roman" w:cs="Times New Roman"/>
          <w:b/>
          <w:sz w:val="24"/>
          <w:szCs w:val="24"/>
          <w:lang w:val="sr-Cyrl-CS"/>
        </w:rPr>
        <w:t>општи циљ</w:t>
      </w:r>
      <w:r w:rsidRPr="0069404C">
        <w:rPr>
          <w:rFonts w:ascii="Times New Roman" w:hAnsi="Times New Roman" w:cs="Times New Roman"/>
          <w:sz w:val="24"/>
          <w:szCs w:val="24"/>
          <w:lang w:val="sr-Cyrl-CS"/>
        </w:rPr>
        <w:t xml:space="preserve"> предшколског васпитања и образовања који подразум</w:t>
      </w:r>
      <w:r w:rsidRPr="0069404C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69404C">
        <w:rPr>
          <w:rFonts w:ascii="Times New Roman" w:hAnsi="Times New Roman" w:cs="Times New Roman"/>
          <w:sz w:val="24"/>
          <w:szCs w:val="24"/>
          <w:lang w:val="sr-Cyrl-CS"/>
        </w:rPr>
        <w:t xml:space="preserve">ва целовит развој укупних потенцијала детета и напредовање у сваком аспекту развоја (физичком, социјално-емоционалном, когнитивном), уз проширивање и усавршавање свих домена које је већ усвојило, предшколским програмом предвиђају се такве активности којима ће се постићи формирање еманциповане личности, свесне себе, својих потенцијала, окренуте друштвеној и природној  средини и животу у целини. </w:t>
      </w:r>
    </w:p>
    <w:p w:rsidR="008B25F5" w:rsidRPr="0069404C" w:rsidRDefault="008B25F5" w:rsidP="008B25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404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Целокупни програм предшколског васпитно-образовног рада реализоваће се кроз модел А уз остваривање многобројних циљева које у себи носи, уз поштовање дечјих интересовања и потреба, аутономије и васпитања и образовања као интеракције где се васпитач укључује као креатор, сарадник у васпитно-образовном процесу и критичар сопствене праксе. Васпитач до тема, садржаја или пројеката долази посматрајући децу, њихова интересовања и потребе, па на основу тога конкретизује дугорочне циљеве и развија тему која не мора бити строго одређена за неки временски период. Сем потреба деце, васпитач узима у обзир и потребе и интересовања родитеља који у изради и реализацији тема или пројеката могу бити равноправни учесници. Важан аспект при </w:t>
      </w:r>
      <w:r w:rsidRPr="0069404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реализацији модела А су лични потенцијал и афинитет васпитача и остали ресурси којима располаже Установа, као и природна и друштвена средина у његовом окружењу. </w:t>
      </w:r>
    </w:p>
    <w:p w:rsidR="00E00B26" w:rsidRPr="0069404C" w:rsidRDefault="008B25F5" w:rsidP="008B25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404C">
        <w:rPr>
          <w:rFonts w:ascii="Times New Roman" w:hAnsi="Times New Roman" w:cs="Times New Roman"/>
          <w:sz w:val="24"/>
          <w:szCs w:val="24"/>
          <w:lang w:val="sr-Cyrl-CS"/>
        </w:rPr>
        <w:tab/>
        <w:t>Ради што ефикасније реализације и остваривања датог модела поштоваће се начела васпитно-образовног рада на предшколском узрасту.</w:t>
      </w:r>
    </w:p>
    <w:p w:rsidR="00E00B26" w:rsidRPr="0069404C" w:rsidRDefault="00E00B26" w:rsidP="00CF3E4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00B26" w:rsidRPr="0069404C" w:rsidRDefault="00E00B26" w:rsidP="00E00B26">
      <w:pPr>
        <w:pBdr>
          <w:bottom w:val="none" w:sz="0" w:space="15" w:color="auto"/>
        </w:pBd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ygj297r1ao8" w:colFirst="0" w:colLast="0"/>
      <w:bookmarkEnd w:id="0"/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Предшколска Установа својим различитим облицима рада обухвата око </w:t>
      </w:r>
      <w:r w:rsidR="008B25F5" w:rsidRPr="0069404C">
        <w:rPr>
          <w:rFonts w:ascii="Times New Roman" w:eastAsia="Times New Roman" w:hAnsi="Times New Roman" w:cs="Times New Roman"/>
          <w:sz w:val="24"/>
          <w:szCs w:val="24"/>
          <w:lang/>
        </w:rPr>
        <w:t>118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де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тета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>, што представља висок проценат у односу на укупну популацију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деце у општини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Највећи број обухваћене деце је у најстаријем узрасту (5 – 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6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,5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година) и у припремним групама. Број обухваћене деце креће се око 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100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% 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 циљу повећања обухвата деце и повећања доступности квалитетног предшколског васпитања и образовања за сву децу у Установи осмишљ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авају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квалитетни кратки диверсификовани програми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који ће се остваривати у наредном периоду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Ови програми   имају снажне ефекте на свеукупан развој и добробит деце, породице и друштва, а истовремено су и економски исплативи.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Улагање у рано образовање је дугорочна и сигурна инвестиција, у складу са наведеним наш тим за диверсификацију проактивно иступа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ће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подржавајући добробит деце и породица ангажовањем у разноврсним пројектима у сарадњи са локалном заједницом, надлежним институцијама и релевантним организацијама.</w:t>
      </w:r>
      <w:proofErr w:type="gramEnd"/>
    </w:p>
    <w:p w:rsidR="00E00B26" w:rsidRPr="0069404C" w:rsidRDefault="00E00B26" w:rsidP="00E00B26">
      <w:pPr>
        <w:pBdr>
          <w:bottom w:val="none" w:sz="0" w:space="15" w:color="auto"/>
        </w:pBd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ablf64ltgma5" w:colFirst="0" w:colLast="0"/>
      <w:bookmarkEnd w:id="1"/>
    </w:p>
    <w:p w:rsidR="00E00B26" w:rsidRPr="0069404C" w:rsidRDefault="00E00B26" w:rsidP="00E00B26">
      <w:pPr>
        <w:pBdr>
          <w:bottom w:val="none" w:sz="0" w:space="15" w:color="auto"/>
        </w:pBd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jwe9isnyob2a" w:colFirst="0" w:colLast="0"/>
      <w:bookmarkEnd w:id="2"/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Сви кадрови који су ангажовани за рад са децом су квалификовани и стручно оспособљени за васпитно-образовни рад, што је веома значајно за успешну реализацију.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На узрасту од 1-3 год.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раде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медицинске сестре васпитачи са средњом  медицинском школом, а са децом од 3-7 год.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васпитачи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са вишом, струковном школом (трогодишња) и високом школском спремом..</w:t>
      </w:r>
    </w:p>
    <w:p w:rsidR="00E00B26" w:rsidRPr="0069404C" w:rsidRDefault="00E00B26" w:rsidP="00E00B26">
      <w:pPr>
        <w:pBdr>
          <w:bottom w:val="none" w:sz="0" w:space="15" w:color="auto"/>
        </w:pBd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noy7n19j9hh" w:colFirst="0" w:colLast="0"/>
      <w:bookmarkEnd w:id="3"/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>в. Култура установе: мисија</w:t>
      </w:r>
      <w:proofErr w:type="gramStart"/>
      <w:r w:rsidR="00CF3E4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F3E45">
        <w:rPr>
          <w:rFonts w:ascii="Times New Roman" w:eastAsia="Times New Roman" w:hAnsi="Times New Roman" w:cs="Times New Roman"/>
          <w:b/>
          <w:sz w:val="24"/>
          <w:szCs w:val="24"/>
          <w:lang/>
        </w:rPr>
        <w:t>визија</w:t>
      </w:r>
      <w:proofErr w:type="gramEnd"/>
      <w:r w:rsidR="00CF3E45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мото установе </w:t>
      </w: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color w:val="6AA84F"/>
          <w:sz w:val="24"/>
          <w:szCs w:val="24"/>
        </w:rPr>
      </w:pPr>
      <w:bookmarkStart w:id="4" w:name="_Hlk57875171"/>
    </w:p>
    <w:bookmarkEnd w:id="4"/>
    <w:p w:rsidR="00E00B26" w:rsidRPr="0069404C" w:rsidRDefault="00E00B26" w:rsidP="00E00B26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>Мисија установе је дефинисана у складу са вредносним полазиштима Основа програма и саставни је део актуелно</w:t>
      </w:r>
      <w:r w:rsidR="008B25F5" w:rsidRPr="0069404C">
        <w:rPr>
          <w:rFonts w:ascii="Times New Roman" w:eastAsia="Times New Roman" w:hAnsi="Times New Roman" w:cs="Times New Roman"/>
          <w:sz w:val="24"/>
          <w:szCs w:val="24"/>
        </w:rPr>
        <w:t xml:space="preserve">г Развојног плана </w:t>
      </w:r>
      <w:proofErr w:type="gramStart"/>
      <w:r w:rsidR="008B25F5" w:rsidRPr="0069404C">
        <w:rPr>
          <w:rFonts w:ascii="Times New Roman" w:eastAsia="Times New Roman" w:hAnsi="Times New Roman" w:cs="Times New Roman"/>
          <w:sz w:val="24"/>
          <w:szCs w:val="24"/>
        </w:rPr>
        <w:t>установе ,</w:t>
      </w:r>
      <w:proofErr w:type="gramEnd"/>
      <w:r w:rsidR="008B25F5" w:rsidRPr="006940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25F5" w:rsidRPr="0069404C">
        <w:rPr>
          <w:rFonts w:ascii="Times New Roman" w:eastAsia="Times New Roman" w:hAnsi="Times New Roman" w:cs="Times New Roman"/>
          <w:sz w:val="24"/>
          <w:szCs w:val="24"/>
          <w:lang/>
        </w:rPr>
        <w:t>Моравски цвет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 xml:space="preserve">'' </w:t>
      </w:r>
      <w:r w:rsidR="008B25F5" w:rsidRPr="0069404C">
        <w:rPr>
          <w:rFonts w:ascii="Times New Roman" w:eastAsia="Times New Roman" w:hAnsi="Times New Roman" w:cs="Times New Roman"/>
          <w:sz w:val="24"/>
          <w:szCs w:val="24"/>
          <w:lang/>
        </w:rPr>
        <w:t xml:space="preserve">Жабари 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 xml:space="preserve">од </w:t>
      </w:r>
      <w:r w:rsidR="008B25F5" w:rsidRPr="0069404C">
        <w:rPr>
          <w:rFonts w:ascii="Times New Roman" w:eastAsia="Times New Roman" w:hAnsi="Times New Roman" w:cs="Times New Roman"/>
          <w:sz w:val="24"/>
          <w:szCs w:val="24"/>
          <w:lang/>
        </w:rPr>
        <w:t>јуна 2021 – јуна 2026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 xml:space="preserve">.године 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0B26" w:rsidRPr="0069404C" w:rsidRDefault="00E00B26" w:rsidP="00E00B26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4C" w:rsidRPr="0069404C" w:rsidRDefault="00E00B26" w:rsidP="00E00B26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Мисија установе гласи: </w:t>
      </w:r>
    </w:p>
    <w:p w:rsidR="0069404C" w:rsidRDefault="0069404C" w:rsidP="00694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hAnsi="Times New Roman" w:cs="Times New Roman"/>
          <w:sz w:val="24"/>
          <w:szCs w:val="24"/>
        </w:rPr>
        <w:t>Наша мисија је да свој деци обезбедимо услове за лепше детињство, целокупан психофозички развој поштујући њихове потребе и интересовања, а родитељима пружимо подршку и помоћ.</w:t>
      </w:r>
      <w:proofErr w:type="gramEnd"/>
    </w:p>
    <w:p w:rsidR="00CF3E45" w:rsidRPr="0069404C" w:rsidRDefault="00CF3E45" w:rsidP="00694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04C" w:rsidRPr="0069404C" w:rsidRDefault="0069404C" w:rsidP="00E00B26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69404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lastRenderedPageBreak/>
        <w:t>Визија установе гласи :</w:t>
      </w:r>
    </w:p>
    <w:p w:rsidR="0069404C" w:rsidRPr="0069404C" w:rsidRDefault="0069404C" w:rsidP="00E00B26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proofErr w:type="gramStart"/>
      <w:r w:rsidRPr="0069404C">
        <w:rPr>
          <w:rFonts w:ascii="Times New Roman" w:hAnsi="Times New Roman" w:cs="Times New Roman"/>
          <w:sz w:val="24"/>
          <w:szCs w:val="24"/>
        </w:rPr>
        <w:t>Желимо да будемо установа која има партнерски однос са родитељима, у којој сва деца расту и развијају се у подстицајној васпитно-образовној средини, уз актино учешће родитеља, а у атмосфери толеранције и уз уважавање потреба деце и породице.</w:t>
      </w:r>
      <w:proofErr w:type="gramEnd"/>
      <w:r w:rsidRPr="0069404C">
        <w:rPr>
          <w:rFonts w:ascii="Times New Roman" w:hAnsi="Times New Roman" w:cs="Times New Roman"/>
          <w:sz w:val="24"/>
          <w:szCs w:val="24"/>
        </w:rPr>
        <w:t xml:space="preserve"> Наставићемо са </w:t>
      </w:r>
      <w:proofErr w:type="gramStart"/>
      <w:r w:rsidRPr="0069404C">
        <w:rPr>
          <w:rFonts w:ascii="Times New Roman" w:hAnsi="Times New Roman" w:cs="Times New Roman"/>
          <w:sz w:val="24"/>
          <w:szCs w:val="24"/>
        </w:rPr>
        <w:t>одличном  сарадњом</w:t>
      </w:r>
      <w:proofErr w:type="gramEnd"/>
      <w:r w:rsidRPr="0069404C">
        <w:rPr>
          <w:rFonts w:ascii="Times New Roman" w:hAnsi="Times New Roman" w:cs="Times New Roman"/>
          <w:sz w:val="24"/>
          <w:szCs w:val="24"/>
        </w:rPr>
        <w:t xml:space="preserve">  са локалном средином, користећи потенцијале које имамо, са циљем добробити и развоја код деце.</w:t>
      </w:r>
    </w:p>
    <w:p w:rsidR="00E00B26" w:rsidRPr="0069404C" w:rsidRDefault="00E00B26" w:rsidP="00E00B26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Квалитет предшколске установе се огледа у отворености и капацитету за сарадњу и грађење партерстава на свим нивоима, а квалитет заједнице се види у начину и степену бриге о деци.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B26" w:rsidRPr="0069404C" w:rsidRDefault="00E00B26" w:rsidP="00E00B26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  <w:lang/>
        </w:rPr>
        <w:t>Мото :,,Дете иде свесно за тим да одвоји од одраслих , осамостали и развије као слободна личност. Наше васпитање треба да помогне у томе.''(Марија Монтесори)</w:t>
      </w: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Предшколска установа као место реалног програма васпитно-образовног рада                </w:t>
      </w: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 xml:space="preserve"> Васпитно-образовни програм као израњајући програм заједничког живљења;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Пракса предшколске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установе  се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континуирано развија у правцу демократске, инклузивне и рефлексивне кроз реални програм у конкретном контексту, заједничким учешћем деце и одраслих.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Усмерени смо да подржимо добробит деце, породице и аутономију, креативност и професионалност практичара.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Програм се гради кроз заједничко учешће свих учесника, деце породице и васпитача у конкретном контексту, засновано на концепцији Основа програма.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Програм је израњајући, односећи се на конкретну децу, њихове породице и развија се уважавајући специфичности животног окружења породица и вртића.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“Васпитно-образовни програм се гради кроз заједничко учешће деце и одраслих као аутентичних људских односа и заједништва у ситуацијама, догађајима и активностима које за њих имају смисла, као процес заједничког учења деце и одраслих кроз који одрасли и деца заједнички конструишу знања и разумевање себе и света</w:t>
      </w:r>
      <w:proofErr w:type="gramStart"/>
      <w:r w:rsidRPr="006940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”(</w:t>
      </w:r>
      <w:proofErr w:type="gramEnd"/>
      <w:r w:rsidRPr="006940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Основе програма –Године узлета, 2018).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 xml:space="preserve">Циљ предшколског васпитања и образовања 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>у односу на дете је подршка добробити детета кроз односе и делање</w:t>
      </w:r>
      <w:r w:rsidR="0069404C" w:rsidRPr="006940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9404C" w:rsidRPr="0069404C">
        <w:rPr>
          <w:rFonts w:ascii="Times New Roman" w:eastAsia="Times New Roman" w:hAnsi="Times New Roman" w:cs="Times New Roman"/>
          <w:sz w:val="24"/>
          <w:szCs w:val="24"/>
        </w:rPr>
        <w:t xml:space="preserve">  Развојним планом установе 2021-2026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одређени су циљеви: </w:t>
      </w:r>
    </w:p>
    <w:p w:rsidR="00E00B26" w:rsidRPr="0069404C" w:rsidRDefault="00E00B26" w:rsidP="00E00B2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Да сва деца предшколског узраста имају једнаке могућности за учење и развој, унапређивањем квалитета васпитнообразовног рада.</w:t>
      </w:r>
    </w:p>
    <w:p w:rsidR="00E00B26" w:rsidRPr="0069404C" w:rsidRDefault="00E00B26" w:rsidP="00E00B2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Подићи капацитет и квалитет просторних ресурса који су прилагођени различитим потребама деце, обезбедити сигуран и безбедан боравак деце, квалитетним радом омогућити доступност програма свим интересним групама.</w:t>
      </w:r>
    </w:p>
    <w:p w:rsidR="00E00B26" w:rsidRPr="0069404C" w:rsidRDefault="00E00B26" w:rsidP="00E00B2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Неговање климе припадности , заједништва и поверења уз развијање сарадње на свим нивоима, уважавањем и толеранцијом. Развијање рефлексивне праксе у установи кроз сарадњу, размену и заједничка истараживања.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Циљеви су детаљно разрађени у Развојном плану установе.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B26" w:rsidRPr="0069404C" w:rsidRDefault="00E00B26" w:rsidP="00E00B26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Водимо се </w:t>
      </w: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>принципима развијања реалног програма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датим у Основама програма: Принцип усмерености на односе, принцип животности, принцип интегрисаности, принцип аутентичности, принцип ангажованоси и принцип партнерства.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>Принципи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подржавају грађење и неговање односа уважавања, сарадње, одговорности и заједништва.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Заједништво је организовано око смислених ситуација (интегрисаног) учења које израњају из искуства, питања, догађаја, збивања у групи и заједници.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Сваки члан заједнице је уважен у својој аутентичности и негује се индивидуализовани приступ сваком детету уз подршку деци са сметњама у развоју и инвалидитетом и деци из других осетљивих група.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 развијању програма фокус је на уважавању перспективе деце и породице и повезивању са локалном заједницом.</w:t>
      </w:r>
      <w:proofErr w:type="gramEnd"/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Планирање и документовање 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Планирање васпитно - образовног процеса настаје и развија се у заједништву деце, родитеља и васпитача.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Програм који настаје је смислено повезан са контекстом и истраживањима релевантим деци и одраслима у заједници.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Планирање је тематско или пројектно, засновано на интегрисаном приступу учења у коме постоји јединство доживљаја, мисли и делања.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Процес планирања је стваралачки (није унапред дат) и одражава реалност живота групе, смислен је заједници а доноси измене у простору и креираним ресурсима.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 процес планирања укључени су и родитељи а васпитач планира места у локалној заједници у којима деца могу да проширују искуства везана за тему или пројекат.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Циљ у планирању није доћи до брзог решења или овладати неким знањима већ планирање подршке процесу учења засноване на принципима развијања реалног програма.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Документовање омогућава видљивост програма и учења и развоја деце.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Видљивост процеса учења је пре свега доступан и потребан деци како би могли да посматрају свој напредак у учењу, да договарају и праве претпоставке о будућем смеру истраживања.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Сврха документовања је и континуирано грађење квалитета програма кроз критичко преиспитивање и рефлексивни приступ.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B26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E45" w:rsidRPr="0069404C" w:rsidRDefault="00CF3E45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Понуда програма и услуга </w:t>
      </w: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wc3gjasyy85x" w:colFirst="0" w:colLast="0"/>
      <w:bookmarkEnd w:id="5"/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Кроз сарадњу са локалном заједницом и родитељима доприносимо повећању обухвата деце, видљивости рада установе и промоцији значаја раног развоја.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Континуирано проширујемо понуду квалитетних програма, креирамо додатну подршку деци и породици и пружамо прилику деци да учествују у животу заједнице и користе могућности које она нуди као подстицај за учење и рани развој у циљу добробити читавог друштва.</w:t>
      </w:r>
      <w:proofErr w:type="gramEnd"/>
    </w:p>
    <w:p w:rsidR="00E00B26" w:rsidRPr="0069404C" w:rsidRDefault="00E00B26" w:rsidP="00E00B26">
      <w:pPr>
        <w:pBdr>
          <w:bottom w:val="none" w:sz="0" w:space="15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>У оквиру делатности Установе организовани су различити облици рада са децом: целодневни боравак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,  четворочасовни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припремни програм и додатне делатности.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Физичко окружење као димензија програма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Простори  су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различити по величини и капацитету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сви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су у природном окружењу,  сви имају дворишта . 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Оно што је заједничко за све просторе јесте да су безбедни и предвидиви, отворени и доступни.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оквиру  вртића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сви простори, унутрашњи и спољашњи су повезани и међусобно интегрисани са флексибилном наменом. Простор одражава концепцију програма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и  нарочита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пажња се посвећује сталном реструктуирању, развијању и обогаћивању простора у партнерству са породицом.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Простор је променљив и динамичан.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Приступачан је за сву децу, подстицајан, инспиративан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и  омогућава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деци да бирају активности и садржаје и начине груписања; могу да  раде заједно и сарађују,  али и да се осаме и да самостално да користе материјале на различите начине.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Деца имају могућност да реорганизују простор, уређују га, истражују, креирају, стварају.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На тај начи деца граде лични и групни идентитет и добијају прилику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да  се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осете уважено и одговорно, а пре свега имају мноштво прилика да уживају и да се радују.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Простор је организован кроз просторне целине.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Промене у простору резултат су истраживања иницирана дечјим питањима, игром и пројектима које као мале заједнице развијају.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Материјали који се могу наћи у простору су природни, пластични, дрвени, рециклажни и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други  који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омогућавају вишенаменско коришћење и подстичу дечју машту и креативност.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Осим играчака и материјала са вишенаменском употребом у простору се могу пронаћи и реални предмети који омогућавају деци непосредан доживљај стварности.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Двориште и сви простори вртића су места за игру и учење и одражавају концепцију програма.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Функције свега изложеног у простору су истраживање, видљивост програма, персонализованост (даје слику идентитета групе и појединаца), и подстичу заједничког учешћа свих актера (деце и одраслих у вртићу и заједници).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Временска организација је флексибилна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  односу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на структуирање редоследа и трајања различитих ситуација и активности у вртићима.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Дневни ритам активности је устаљен, што омогућава предвидљивост и помаже деци да стекну дневне рутине.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Свакодневне активности (обедовање, спавање, боравак напољу…) се планирају у дијалогу са породицом и локалном заједницом, а у складу са потребама деце.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Уважавају се индивидуалне разлике (у вези са исхраном, одмором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)  које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подржавају дечје добробити. 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Промишља се о начинима договарања са децом о правилима везаним за рутине и подстиче самосталност деце у обављању рутина.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Предшколска установа као место демократске и инклузивне праксе </w:t>
      </w: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 xml:space="preserve"> Партнерство са породицом</w:t>
      </w: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Породица је примарни и најважнији васпитач деце.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Партнерство са породицом се гради кроз узајамно поверење и поштовање, сталну отворену комуникацију и дијалог, као и препознавање и уважавање јединственог доприноса и снага сваке стране путем неговања емпатије, осетљивости и уважавања различитих перспектива.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Оно се огледа и у заједничом доношењу одлука као и спремности на компромисе и промене.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Неговањем рефлексивности и саморефлексивности у раду практичари унапређују своје компетенције које се односе управо на развијање партнерства са породицом, кроз дијалог и размену у оквиру малих заједница практичара на нивоу вртића и Установе. У новом циклусу развоја рефлексивне праксе усмерићемо се на преиспитивање полазишта, претпоставки и очекивања од сарадње са породицом и постојеће обрасце моћи.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Pодитељи су укључени у процес рада и вредновања квалитета Установе у оквиру следећих стручних тела: Савет родитеља, 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Тим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за развојно планирање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,  Тим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за заштиту деце од дискриминације, насиља, занемаривања и злостављања и Тим за самовредновање.  На тај начин породице учествују у доношењу одлука, решавању проблема, превазилажењу изазова, унапређивању квалитета рада разматрајући текућа питања из живота Установе која се тичу њихове деце.Поред учешћа родитеља у раду стручних тела подржава се активно учешће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породице  у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животу и раду вртића. Стварају се могућности и прилике да породице одлучују, активно учествују у васпитању и образовању своје деце, учествовањем на родитељским састанцима, осмишљавањем и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реализовањем  различитих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радионица; неговањем родитељских иницијатива; креирањем различитих флајера, видео материјала којима се родитељи позивају на учешће.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Предвиђени су различити видови сарадње са родитељима, као и бројне прилике за заједничко живљење, дружење и грађење квалитетних односа, међусобно упознавање и 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размену.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Партнерство се гради од почетка, већ на првим родитељским састанцима пре поласка новопримљене деце.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Припремљени су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и  писани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и видео информатори о процесу адаптације, игри, иницијативи, организацији живота и рада у вртићу; упитници о навикама и особинама детета. Индивидуални (саветодавни, информативни…) разговори и подршка родитељским компетенцијама од стране васпитног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особља  су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породици на располагању свакодневно.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Континуирана је сарадња и размена информација о развоју и напредовању и социјалном функционисању детета унутар наших вртића, а и са другим системима (школа, центар за социјални рад), током свих транзиционих периода.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Повезаност са локалном заједницом;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8761D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Локална заједница чини друштвени и културни контекст у коме дете одраста као и шире окружење које обухвата физичку и социјалну средину (различите установе, институције, организације, различите социјалне групе).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За дете је заједница пре свега његово непосредно окружење - породица, вртић и друге установе и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институције  које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посећује (дом здравља, места за изласке и забаву, продавнице и сл.).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Захваљујући свом проактивном приступу предшколска установа је видљиви субјект и активан партнер на општини 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Мало Црниће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>, а деца учешћем у заједници развијају нова знања, осећање припадништва и заједничког социјалног учешћа, властиту вредност и идентитет, користећи ресурсе и просторе у заједници за реализацију.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Предшколска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установа  тежи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повећању видљивости и промовисању значаја квалитетног раног  васпитања и образовања у заједници, континуирано развијајући сарадњу, партерство, и умрежавање с свим актерима који доприносе подршци раног развоја деце. Креирањем подстицајнијих услова за децу и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породицу  подржавају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се добробити, остварују међусобни позитивни утицаји и  дугорочно подиже општи квалитет живота у заједници.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Тежимо да промовишемо слику о детету као комептентној, активној особи која има право и могућности да активно учествује у обликовању заједнице у којој живи.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Установа  користи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различите ресурсе и просторе у заједници за реализацију активности (нпр. отворене просторе, институције образовања, културе и спорта итд.) и учествује у различитим дешавањима у локалној заједници (прославе, фестивали, акције). Информације о програму рада су доступне локалној заједници кроз учешће у многобројним акцијама и манифестацијама и кроз повезивање са другим образовним програмима и организацијама које се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баве  децом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и  породицом.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Континуирана сарадња видљива је и у партнерствима и сарадњи са другим институцијама: 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Општинска управа-друштвена брига о деци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>, Министарство просвете, науке и технолошког развоја, установе културе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туристичке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 xml:space="preserve"> организације,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установама спорта и рекреације, 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струковна удружења, удружења родитеља и невладине организације. Партнерства и сарадња предшколске установе остварена је и са привредним, пословним и услужним организацијама које пружају подршку у реализације неких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активности  или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акција.</w:t>
      </w: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sent2dfc3rp5" w:colFirst="0" w:colLast="0"/>
      <w:bookmarkEnd w:id="6"/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75qhjrbwk53r" w:colFirst="0" w:colLast="0"/>
      <w:bookmarkEnd w:id="7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Отвореност Установе огледа се и кроз присуство 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стажера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и студената (ва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спитача, медицинских сестара васпитача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) који могу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реализовати  стручну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праксу, стицати радно искуство и реализовати истраживачке пројекте у вртићима.Сарадња Установе и основних школа се континуирано одвија кроз посете предшколске деце свим школама на територији општине , учешће на приредбама, као и кроз посете учитеља вртићима и заједничких састанака 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учитеља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школе,  васпитача и родитеља чија деца полазе у школу. Негује се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и  дугогодишња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сарадња са 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 xml:space="preserve">музичком 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ом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Отвореност предшколске установе огледа се и у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видљивости  путем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веб сајта установе, фејсбук странице Установе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васпитно-образовни и едукативни садржаји и примери добре праксе.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 xml:space="preserve"> в. Рад са децом и породицама из осетљивих група</w:t>
      </w: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Унапређивање инклузивног образовања има приоритет у раду Установе. Установа је формирала Тим за инклузију као вид систематске подршке унапређивању и развијању инклузивне културе установе и неговању инклузивне праксе.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Путем едукације васпитача, медицинских сестара васпитача и сарадника, коришћењем релевантне стручне литературе и применом дигиталних технологија континуирано радимо на повећању отворености и осетљивости за инклузивност и унапређивање компетенција за планирање и реализацију васпитно-образовног рада и различитих облика додатне подршке у овој области.</w:t>
      </w:r>
      <w:proofErr w:type="gramEnd"/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8" w:name="_gjdgxs" w:colFirst="0" w:colLast="0"/>
      <w:bookmarkEnd w:id="8"/>
      <w:r w:rsidRPr="0069404C">
        <w:rPr>
          <w:rFonts w:ascii="Times New Roman" w:eastAsia="Times New Roman" w:hAnsi="Times New Roman" w:cs="Times New Roman"/>
          <w:sz w:val="24"/>
          <w:szCs w:val="24"/>
        </w:rPr>
        <w:t>Облици додатне подршке деци и породици које установа организује у сарадњи са партнерима на нивоу локалне заједнице су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 xml:space="preserve"> центар за социјални рад и удружењем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,,8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дан''</w:t>
      </w: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>Приоритети у раду Тима за инклузију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>1. Неговање инклузивне праксе путем сензибилизације и едукације запослених и родитеља и локалне заједнице</w:t>
      </w: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>2.   Унапређивање педагошке документације везане за праћење развоја детета</w:t>
      </w: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>3.  Подршка васпитачу у планирању и реализацији васпитно-образовног рада са децом којој је неопходна додатна подршка у развоју.</w:t>
      </w: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>4.   Подршка родитељима деце са сметњама у развоју</w:t>
      </w: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Породица као први и основни васпитач детета није непроменљива и подложна је многим кризама током раста детета које зависе од контекста: болест, развод, смрт, губитак посла, сиромаштво, низак ниво образовања, инвалидитет, алкохолизам и у том смислу свака породица може да буде осетљива.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Породице често трпе и дискриминацију и социјалну искљученост.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Све су то ситуације када је породици потребна подршка, посебно породици са дететом предшколског узраста.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Вртић има одговорност за доступност своје подршке и отворен је за сву децу из локалне заједнице.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Вртић пружа подршку целовитом развоју детета, васпитној функцији породице и укључивању детета и одраслих у друштвену заједницу.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Препознавањем и адекватним реаговањем, предшколска установа, кроз своје програме пружа различите врсте подршке: вршњачке, колегијалне, стручне, институциализоване, системски регулисане, усмерене на најбољи интерес и добробит детета.</w:t>
      </w: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 xml:space="preserve"> г. Транзиција и континуитет у образовању </w:t>
      </w: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>Процес адаптације и процес транзиције се пажљиво планирају и систематски прате у Установи. Транзициони периоди обухватају неколико месеци пре и након што дете пређе на следећи ниво васпитања и образовања</w:t>
      </w: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када дете први пут полази у предшколску установу (јасле, вртић, ППП), када прелази из јасала у вртић или долази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из  другог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вртића (мења групу) и када полази у школу. 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Програми транзиције (који подразумева и период адаптације) се развијају и реализују уважавајући перспективе породице и деце, уз афирмативно подстицање партнерства и повезивање у складу са могућностима и ресурсима вртића, породице и заједнице.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Обезбеђују се повољни услови за прилагођавање креирањем подстицајне средине и активности, осмишљеним и активним присуством родитеља током првих дана боравка деце у јаслицама и у вртићу, поштовањем индивидуалног ритма детета и постепеним одвајањем од родитеља.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Активности за успешно прилагођавање и добробит детета, планирају се и реализију кроз узајамну сарадњу предшколске установе, породице и других система (ОШ, други вртић, ЦСР, терапеути, ИРК...).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установи  се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примењује програм адаптације на јасле и вртић у сарадњи са родитељима и подршка породици за сваки транзициони период. 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Смисао боравка деце и родитеља је у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томе  да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прелазак детета у нову средину има ослонац у ономе што му је блиско и познато, да нову средину упозна са особом за коју je везанo и коју познајe.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То је период у коме се активно прилагођавају и одрасли и деца, јер се кроз узајмне интеракције креира нови контекст у коме се моделују узајмна очекивања, утврђују рутине и успостављају обрасци понашања.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Због тога је овај период посебно значајан и важно је да буде добро испланиран, а истовремено врло флексибилан.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Посебна пажња 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lastRenderedPageBreak/>
        <w:t>поклања се стварању поверења и добре сарадње са породицом, јер је то темељ квалитетних, узајамно уважавајућих односа и партнерства са породицом.</w:t>
      </w:r>
      <w:proofErr w:type="gramEnd"/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Једна од важних активности у овом периоду је и грађење идентитета групе, како би дете препознало сличности које га повезују са групом, доживело групу као своју и осетило сигурност, блискост и припадање.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Дете такође уочава различитост и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препознаје  себе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као јединствену и непоновљиву особу, која је вредна сама по себи и значајна као појединац, а истовремено и као члан својих група (породица, вршњачка група у вртићу, итд.)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Остваривање припремног предшколског програма доприноси програмском и организационом повезивању предшколског и школског система као претпоставке остваривања континуитета у васпитању и образовању деце.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Због тога овај транзициони период представља заједничку одговорност вртића, школског система и породице како би се олакшао прелазак детета у ново окружење.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Циљ јеобезбеђивање континуитета квалитетног физичког и социјалног контекста за развој и учење кроз холистички приступ детету, уз уважавање индивидуалних карактеристика и права сваког детета.</w:t>
      </w:r>
      <w:proofErr w:type="gramEnd"/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Деца предшколског узраста и њихове породице на територији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општине  током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припремног предшколског програм упознају се са особеностима школског система.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 години пред полазак у школу сарадња Установе и основних школа се континуирано одвија.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Посете школама, праћење наставе током школског часа и заједничке приредбе предшколаца са децом школског узраста постали су неизоставни део овог транзиционог периода.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Такође, родитељи деце припремног предшколског програма имају прилику да на заједничком састанку представника вртића: васпитача и стручних сарадника са представницима школа дискутују важне аспекте транзиције, као и да се упознају са изазовима које полазак у школу доноси.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Негујемо континуитет и уважавамо сложеност транзиције између школског и предшколског система и када су у питању деца из осетљивих група.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Како унапређење инклузивности образовања има приоритет у Установи, настојимо да са породицама, васпитачима и представницима школе заједно планирамо процес преласка из вртића у школу.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Заједно са породицом детета разматрамо у којој мери би документација која постоји у виду мера индивидуализације, педагошки профил или индивидуални образовни план били од користи за креирање подстицајног окружења и ситуација у школи.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Заједно са родитељима као партнерима креирамо праксу која се уз њихову сагласност преноси и у школски систем и има позитиван ефекат на учење и развој детета.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>4. Предшколска установа као место рефлексивне праксе</w:t>
      </w: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Заједница рефлексивне праксе: развој праксе, професионални развој и јавно деловање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Кључна подручја за развијање заједнице рефлексивне праксе и професионално оснаживање у складу су са новом концепцијом Основа програма предшколског васпитања и образовања - Године узлета и циљевима нашег Развојног плана.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Процес обука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 xml:space="preserve"> кроз СУПЕР пројекат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и имплементација Нових Основа програма биће нам основа за даље развијање заједнице рефлексивне праксе и професионално оснаживање васпитача и стручних сарадника.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Заједнице учења ће се креирати тако да подрже процес имплементирања Нових Основа програма и развијају се уживо и онлајн.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 заједницама учења практичара, сви узимају учешће.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Учење се организује око релевантних питања, проблематике из праксе и истраживања које покрећу практичари или узимањем учешћа у истраживањима, пројектима и процесима заједно са релевантним установама.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Рефлексивност практичара је основ развијања програма и праксе.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Наша Установа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континуирано  гради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и негује културу лидерског деловања свих запослених на свим професионалним позицијама.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Усмерени смо на унапређивање квалитета васпитно - образовне праксе и развој улоге професионалца као заступника значаја раног развоја и квалитетног предшколског васпитања и образовања.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Оваква слика о лидеру у вртићу свој одраз има у виђењу детета као компетентне особе, вртића као места живљења и заједничког грађења програма уз учешће свих: деце, родитеља, породице и локалне заједнице.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Хоризонталне размене и истраживања практичара су нам основни ослонац развоја праксе и грађење односа заснованих на поверењу, уважавању, размени и узајамној подршци.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 установи се реализују различити начини планирања и остваривања хоризонталног учења и истраживања практичара чиме континуирано преиспитујемо теоријска и практична полазишта и сопствене праксе у дијалогу са колегама, породицом и децом.План стручног усавршавања реализоваће се и кроз рад Васпитно–образовног већа и стручних актива.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Годишњим планом стручног усавршавања планирамо и редовно стручно усавршавање васпитача, медицинских сестара -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васпитача  и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сарадника путем  акредитованих семинара.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Осим наведеног, учествоваћемо у програмима стручног усавршавања на различитим интернет платформама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gramEnd"/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Похађани семинари се реализују и презентују у вртићима, на активима Установе, на стручним сусретима васпитача и медицинских сестара васпитача.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Хоризонтално стручно усавршавањe - Ова врста размене има вишеструке ефекте на квалитет рада и јачање компетенција.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Наставићемо са богатом праксом хоризонталних размена и у наредном 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периоду.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Примери добре праксе развијања програма у заједници ''Вртић у породици'' су нам послужили за покретање нових дискусија и стручно усавршавање.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Начин на који су презентовани (коришћењем за нас нових веб алата) уједно одсликавају и потребу за унапређивањем дигиталних компетенција практичара.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Креативна решења која смо изградили током овог периода користићемо као искуство за даље развијање праксе.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Креирају се различите прилике за професионални развој свих запослених (учешће у пројектима, активитет у стручним удружењима, хоризонтално и вертикално стручно усавршавање, индивидуални планови стручног усавршавања и сл.).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Запослени установе заузимају запаженo место у професионалним удружењима, стручним телима и организацијама и активно доприносе стручним разменама (скупови, сусрети, научне конференције и др.).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Учествујемо на релевантним стручним скуповима, за које се тимски припремају презентацијe рада наших вртића, ангажовањем на промовисању права детета и породице и промовисањем значаја предшколског васпитања и образовања.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Установа и сви запослени заговарају значај раног образовања у партнерству са локалном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заједницом .</w:t>
      </w:r>
      <w:proofErr w:type="gramEnd"/>
    </w:p>
    <w:p w:rsidR="00E00B26" w:rsidRPr="0069404C" w:rsidRDefault="00E00B26" w:rsidP="00E00B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b/>
          <w:sz w:val="24"/>
          <w:szCs w:val="24"/>
        </w:rPr>
        <w:t xml:space="preserve">б. Вредновање кроз праћење и документовање остваривања предшколског програма </w:t>
      </w: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8761D"/>
          <w:sz w:val="24"/>
          <w:szCs w:val="24"/>
        </w:rPr>
      </w:pP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Вредновање квалитета рада установа врши се кроз спољашње вредновање квалитета рада установе и самовредновање.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Екстерно вредновање је реализовано у Установи 201</w:t>
      </w:r>
      <w:r w:rsidR="0069404C" w:rsidRPr="0069404C">
        <w:rPr>
          <w:rFonts w:ascii="Times New Roman" w:eastAsia="Times New Roman" w:hAnsi="Times New Roman" w:cs="Times New Roman"/>
          <w:sz w:val="24"/>
          <w:szCs w:val="24"/>
          <w:lang/>
        </w:rPr>
        <w:t>6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, на основу којег је израђен план за унапређивање рада Установе. Самовредновање као реалан процес доноси ефекте кроз подстицање добре праксе, помагање запосленима да препознају сопствене вештине и стручност и омогућава заједничко учење и професионални развој. 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Спроводи се кроз кључне области дефинисане Правилником о стандардима квалитета рада установе.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Циљ процеса и рада на овим областима самовредновања је грађење квалитене праксе предшколске установе као заједнице учења и реалног програма васпитно-образовног рада са децом са једне стране, а са друге афирмација предшколског програма установе у друштвеној и професионалној заједници.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B26" w:rsidRPr="0069404C" w:rsidRDefault="00E00B26" w:rsidP="00E00B26">
      <w:pPr>
        <w:tabs>
          <w:tab w:val="left" w:pos="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Веома је важна коминикација између Тима за самовредновање 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са другим тимовима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У Тим</w:t>
      </w:r>
      <w:r w:rsidRPr="0069404C">
        <w:rPr>
          <w:rFonts w:ascii="Times New Roman" w:eastAsia="Times New Roman" w:hAnsi="Times New Roman" w:cs="Times New Roman"/>
          <w:sz w:val="24"/>
          <w:szCs w:val="24"/>
          <w:lang/>
        </w:rPr>
        <w:t>у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за самовредновање вртића сагледава се сопствена пракса која води ка унапређењу у грађењу културе вртића, развијању реалног програма и подржавања дијалога са родитељима и децом кроз критички приступ према пракси и отвореност за преиспитивање и промену.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На тај начин сваки вртић донекле развија сопствену праксу базирану на својим специфичностима.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На почетку сваке радне године фокус стављамо на једну од кључних области.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Акциони план обухвата ослушкивање заједничких потреба породице, предшколске установе, увида из праксе, специфичности вртића, породица деце, као и заједничког контекста учења.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Акциони план садржи активности, носиоце и време реализације.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У оквиру активности спроводи се континуирано информисање, креирање различитих облика и могућности рада свих интересних група о процесу самовредновања у Предшколској установи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,,</w:t>
      </w:r>
      <w:r w:rsidR="0069404C" w:rsidRPr="0069404C">
        <w:rPr>
          <w:rFonts w:ascii="Times New Roman" w:eastAsia="Times New Roman" w:hAnsi="Times New Roman" w:cs="Times New Roman"/>
          <w:sz w:val="24"/>
          <w:szCs w:val="24"/>
          <w:lang/>
        </w:rPr>
        <w:t>Моравски</w:t>
      </w:r>
      <w:proofErr w:type="gramEnd"/>
      <w:r w:rsidR="0069404C" w:rsidRPr="0069404C">
        <w:rPr>
          <w:rFonts w:ascii="Times New Roman" w:eastAsia="Times New Roman" w:hAnsi="Times New Roman" w:cs="Times New Roman"/>
          <w:sz w:val="24"/>
          <w:szCs w:val="24"/>
          <w:lang/>
        </w:rPr>
        <w:t xml:space="preserve"> цвет“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На овај начин, васпитач из улоге рефлексивног практичара сагледава своју праксу, детаљније упознаје како да на различите начине, својствене њиховим вртићима може да разматра индикаторе.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То представља полазиште за промишљање о акцијама које ће унапредити рад вртића и сопствену праксу.</w:t>
      </w:r>
      <w:proofErr w:type="gramEnd"/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У процесу рада сваке радне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године  формирају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се базе података за једну од приоритетних области самовредновања на основу израђеног инструмента, које представљају полазиште за дијалог са родитељима, децом васпитачима.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Конструктивни предлози проистекли из дискусије интересних група представљају полазиште у изради Годишњег плана Установе. Заједничких настојања усмерена су ка остваривању предложених мера за унапређење квалитета рада на нивоу свих радних јединица, писање извештаја о процесу праћења квалитета рада.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Евалуација спроведених мера за унапређење квалитета рада на основу извештаја, континуиранa сарадња Тима за самовредновање на нивоу Установе и Тима за развојно планирање.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04C">
        <w:rPr>
          <w:rFonts w:ascii="Times New Roman" w:eastAsia="Times New Roman" w:hAnsi="Times New Roman" w:cs="Times New Roman"/>
          <w:sz w:val="24"/>
          <w:szCs w:val="24"/>
        </w:rPr>
        <w:t>Дијалог два тима води ка стварању нових перспектива, као и конкретних планова у наредној години.</w:t>
      </w:r>
      <w:proofErr w:type="gramEnd"/>
      <w:r w:rsidRPr="006940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9404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9" w:name="_4ol1xeab7pst" w:colFirst="0" w:colLast="0"/>
      <w:bookmarkEnd w:id="9"/>
    </w:p>
    <w:p w:rsidR="00E00B26" w:rsidRPr="0069404C" w:rsidRDefault="00E00B26" w:rsidP="00E00B2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B26" w:rsidRPr="0069404C" w:rsidRDefault="00E00B26" w:rsidP="00E00B26">
      <w:pPr>
        <w:tabs>
          <w:tab w:val="left" w:pos="0"/>
          <w:tab w:val="left" w:pos="7596"/>
        </w:tabs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/>
        </w:rPr>
      </w:pPr>
      <w:r w:rsidRPr="0069404C">
        <w:rPr>
          <w:rFonts w:ascii="Times New Roman" w:eastAsia="Arial" w:hAnsi="Times New Roman" w:cs="Times New Roman"/>
          <w:b/>
          <w:sz w:val="24"/>
          <w:szCs w:val="24"/>
        </w:rPr>
        <w:t>ПРЕДСЕДНИК УПРАВНОГ ОДБОРА</w:t>
      </w:r>
      <w:r w:rsidRPr="0069404C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69404C">
        <w:rPr>
          <w:rFonts w:ascii="Times New Roman" w:eastAsia="Arial" w:hAnsi="Times New Roman" w:cs="Times New Roman"/>
          <w:b/>
          <w:sz w:val="24"/>
          <w:szCs w:val="24"/>
          <w:lang/>
        </w:rPr>
        <w:t>Директор:</w:t>
      </w:r>
    </w:p>
    <w:p w:rsidR="00E00B26" w:rsidRDefault="0069404C" w:rsidP="00E00B26">
      <w:pPr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/>
        </w:rPr>
      </w:pPr>
      <w:r w:rsidRPr="0069404C">
        <w:rPr>
          <w:rFonts w:ascii="Times New Roman" w:eastAsia="Arial" w:hAnsi="Times New Roman" w:cs="Times New Roman"/>
          <w:b/>
          <w:bCs/>
          <w:sz w:val="24"/>
          <w:szCs w:val="24"/>
          <w:lang/>
        </w:rPr>
        <w:t>Рената ТодоровићВесна Живковић</w:t>
      </w:r>
    </w:p>
    <w:p w:rsidR="00B345F0" w:rsidRDefault="00B345F0" w:rsidP="00E00B26">
      <w:pPr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/>
        </w:rPr>
      </w:pPr>
    </w:p>
    <w:p w:rsidR="00B345F0" w:rsidRDefault="00B345F0" w:rsidP="00E00B26">
      <w:pPr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/>
        </w:rPr>
      </w:pPr>
    </w:p>
    <w:p w:rsidR="00D227ED" w:rsidRDefault="00D227ED" w:rsidP="00E00B26">
      <w:pPr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/>
        </w:rPr>
      </w:pPr>
    </w:p>
    <w:p w:rsidR="00D227ED" w:rsidRDefault="00D227ED" w:rsidP="00E00B26">
      <w:pPr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/>
        </w:rPr>
      </w:pPr>
    </w:p>
    <w:p w:rsidR="00D227ED" w:rsidRPr="0069404C" w:rsidRDefault="00D227ED" w:rsidP="00E00B26">
      <w:pPr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/>
        </w:rPr>
      </w:pPr>
      <w:bookmarkStart w:id="10" w:name="_GoBack"/>
      <w:bookmarkEnd w:id="10"/>
    </w:p>
    <w:p w:rsidR="00E00B26" w:rsidRDefault="00B345F0" w:rsidP="00E00B26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/>
        </w:rPr>
      </w:pPr>
      <w:r>
        <w:rPr>
          <w:rFonts w:ascii="Times New Roman" w:eastAsia="Arial" w:hAnsi="Times New Roman" w:cs="Times New Roman"/>
          <w:b/>
          <w:sz w:val="24"/>
          <w:szCs w:val="24"/>
          <w:lang/>
        </w:rPr>
        <w:t>Дел.бр: 208</w:t>
      </w:r>
    </w:p>
    <w:p w:rsidR="00B345F0" w:rsidRDefault="00B345F0" w:rsidP="00E00B26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/>
        </w:rPr>
      </w:pPr>
      <w:r>
        <w:rPr>
          <w:rFonts w:ascii="Times New Roman" w:eastAsia="Arial" w:hAnsi="Times New Roman" w:cs="Times New Roman"/>
          <w:b/>
          <w:sz w:val="24"/>
          <w:szCs w:val="24"/>
          <w:lang/>
        </w:rPr>
        <w:t>26.5.2021. год.</w:t>
      </w:r>
    </w:p>
    <w:p w:rsidR="00B345F0" w:rsidRPr="00B345F0" w:rsidRDefault="00B345F0" w:rsidP="00E00B26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/>
        </w:rPr>
      </w:pPr>
    </w:p>
    <w:p w:rsidR="00E00B26" w:rsidRPr="0069404C" w:rsidRDefault="00E00B26" w:rsidP="00E00B26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DE1480" w:rsidRPr="0069404C" w:rsidRDefault="00DE1480">
      <w:pPr>
        <w:rPr>
          <w:rFonts w:ascii="Times New Roman" w:hAnsi="Times New Roman" w:cs="Times New Roman"/>
          <w:sz w:val="24"/>
          <w:szCs w:val="24"/>
        </w:rPr>
      </w:pPr>
    </w:p>
    <w:sectPr w:rsidR="00DE1480" w:rsidRPr="0069404C" w:rsidSect="008718A3">
      <w:footerReference w:type="default" r:id="rId8"/>
      <w:pgSz w:w="12240" w:h="15840"/>
      <w:pgMar w:top="209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D7" w:rsidRDefault="00F367D7">
      <w:pPr>
        <w:spacing w:after="0" w:line="240" w:lineRule="auto"/>
      </w:pPr>
      <w:r>
        <w:separator/>
      </w:r>
    </w:p>
  </w:endnote>
  <w:endnote w:type="continuationSeparator" w:id="1">
    <w:p w:rsidR="00F367D7" w:rsidRDefault="00F3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61" w:rsidRDefault="00C71C03">
    <w:pPr>
      <w:pStyle w:val="Footer"/>
      <w:jc w:val="right"/>
    </w:pPr>
    <w:r>
      <w:fldChar w:fldCharType="begin"/>
    </w:r>
    <w:r w:rsidR="00E00B26">
      <w:instrText xml:space="preserve"> PAGE   \* MERGEFORMAT </w:instrText>
    </w:r>
    <w:r>
      <w:fldChar w:fldCharType="separate"/>
    </w:r>
    <w:r w:rsidR="00D4099C">
      <w:rPr>
        <w:noProof/>
      </w:rPr>
      <w:t>1</w:t>
    </w:r>
    <w:r>
      <w:rPr>
        <w:noProof/>
      </w:rPr>
      <w:fldChar w:fldCharType="end"/>
    </w:r>
  </w:p>
  <w:p w:rsidR="00627861" w:rsidRDefault="00D40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D7" w:rsidRDefault="00F367D7">
      <w:pPr>
        <w:spacing w:after="0" w:line="240" w:lineRule="auto"/>
      </w:pPr>
      <w:r>
        <w:separator/>
      </w:r>
    </w:p>
  </w:footnote>
  <w:footnote w:type="continuationSeparator" w:id="1">
    <w:p w:rsidR="00F367D7" w:rsidRDefault="00F3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6EC3"/>
    <w:multiLevelType w:val="hybridMultilevel"/>
    <w:tmpl w:val="10D6608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507C2"/>
    <w:multiLevelType w:val="multilevel"/>
    <w:tmpl w:val="BD841E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2">
    <w:nsid w:val="6E767C95"/>
    <w:multiLevelType w:val="hybridMultilevel"/>
    <w:tmpl w:val="40C6795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D94"/>
    <w:rsid w:val="000C729A"/>
    <w:rsid w:val="00176D94"/>
    <w:rsid w:val="004345AB"/>
    <w:rsid w:val="0069404C"/>
    <w:rsid w:val="008B25F5"/>
    <w:rsid w:val="009347C9"/>
    <w:rsid w:val="00B345F0"/>
    <w:rsid w:val="00C71C03"/>
    <w:rsid w:val="00CF3E45"/>
    <w:rsid w:val="00D227ED"/>
    <w:rsid w:val="00D4099C"/>
    <w:rsid w:val="00DE1480"/>
    <w:rsid w:val="00E00B26"/>
    <w:rsid w:val="00F3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03"/>
  </w:style>
  <w:style w:type="paragraph" w:styleId="Heading1">
    <w:name w:val="heading 1"/>
    <w:basedOn w:val="Normal1"/>
    <w:next w:val="Normal1"/>
    <w:link w:val="Heading1Char"/>
    <w:qFormat/>
    <w:rsid w:val="00E00B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qFormat/>
    <w:rsid w:val="00E00B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qFormat/>
    <w:rsid w:val="00E00B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E00B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qFormat/>
    <w:rsid w:val="00E00B2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qFormat/>
    <w:rsid w:val="00E00B2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B2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E00B26"/>
    <w:rPr>
      <w:rFonts w:ascii="Arial" w:eastAsia="Arial" w:hAnsi="Arial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00B26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00B26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00B26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E00B26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E00B26"/>
  </w:style>
  <w:style w:type="paragraph" w:customStyle="1" w:styleId="Normal1">
    <w:name w:val="Normal1"/>
    <w:rsid w:val="00E00B26"/>
    <w:pPr>
      <w:spacing w:after="0" w:line="276" w:lineRule="auto"/>
    </w:pPr>
    <w:rPr>
      <w:rFonts w:ascii="Arial" w:eastAsia="Arial" w:hAnsi="Arial" w:cs="Arial"/>
    </w:rPr>
  </w:style>
  <w:style w:type="paragraph" w:styleId="Title">
    <w:name w:val="Title"/>
    <w:basedOn w:val="Normal1"/>
    <w:next w:val="Normal1"/>
    <w:link w:val="TitleChar"/>
    <w:qFormat/>
    <w:rsid w:val="00E00B2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0B26"/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1"/>
    <w:next w:val="Normal1"/>
    <w:link w:val="SubtitleChar"/>
    <w:qFormat/>
    <w:rsid w:val="00E00B2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E00B26"/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00B26"/>
    <w:pPr>
      <w:tabs>
        <w:tab w:val="center" w:pos="4703"/>
        <w:tab w:val="right" w:pos="9406"/>
      </w:tabs>
      <w:spacing w:after="0" w:line="240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E00B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0B26"/>
    <w:pPr>
      <w:tabs>
        <w:tab w:val="center" w:pos="4703"/>
        <w:tab w:val="right" w:pos="9406"/>
      </w:tabs>
      <w:spacing w:after="0" w:line="240" w:lineRule="auto"/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E00B2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semiHidden/>
    <w:rsid w:val="00E00B26"/>
    <w:pPr>
      <w:spacing w:after="0" w:line="276" w:lineRule="auto"/>
    </w:pPr>
    <w:rPr>
      <w:rFonts w:ascii="Tahoma" w:eastAsia="Arial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0B2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4888</Words>
  <Characters>27867</Characters>
  <Application>Microsoft Office Word</Application>
  <DocSecurity>4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DELL 3</cp:lastModifiedBy>
  <cp:revision>2</cp:revision>
  <dcterms:created xsi:type="dcterms:W3CDTF">2021-12-31T10:41:00Z</dcterms:created>
  <dcterms:modified xsi:type="dcterms:W3CDTF">2021-12-31T10:41:00Z</dcterms:modified>
</cp:coreProperties>
</file>